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privacy-policy"/>
    <w:p>
      <w:pPr>
        <w:pStyle w:val="Heading1"/>
      </w:pPr>
      <w:r>
        <w:t xml:space="preserve">Privacy Policy</w:t>
      </w:r>
    </w:p>
    <w:p>
      <w:pPr>
        <w:pStyle w:val="FirstParagraph"/>
      </w:pPr>
      <w:r>
        <w:rPr>
          <w:i/>
          <w:iCs/>
        </w:rPr>
        <w:t xml:space="preserve">Effective Date: September 8, 2026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Welcome to Rory Financial. Rory Financial Group, Inc. and its affiliates (collectively,</w:t>
      </w:r>
      <w:r>
        <w:t xml:space="preserve"> </w:t>
      </w:r>
      <w:r>
        <w:t xml:space="preserve">“Rory Financial”</w:t>
      </w:r>
      <w:r>
        <w:t xml:space="preserve">,</w:t>
      </w:r>
      <w:r>
        <w:t xml:space="preserve"> </w:t>
      </w:r>
      <w:r>
        <w:t xml:space="preserve">“we”</w:t>
      </w:r>
      <w:r>
        <w:t xml:space="preserve">,</w:t>
      </w:r>
      <w:r>
        <w:t xml:space="preserve"> </w:t>
      </w:r>
      <w:r>
        <w:t xml:space="preserve">“us”</w:t>
      </w:r>
      <w:r>
        <w:t xml:space="preserve">, or</w:t>
      </w:r>
      <w:r>
        <w:t xml:space="preserve"> </w:t>
      </w:r>
      <w:r>
        <w:t xml:space="preserve">“our”</w:t>
      </w:r>
      <w:r>
        <w:t xml:space="preserve">) provide institutional ledgering, virtual account management, and multi-rail payment routing infrastructure. This Privacy Policy describes how we collect, use, process, and safeguard personal information of our business customers’ representatives, developers, and visitors to our corporate platform.</w:t>
      </w:r>
    </w:p>
    <w:p>
      <w:r>
        <w:pict>
          <v:rect style="width:0;height:1.5pt" o:hralign="center" o:hrstd="t" o:hr="t"/>
        </w:pict>
      </w:r>
    </w:p>
    <w:bookmarkStart w:id="9" w:name="information-we-collect"/>
    <w:p>
      <w:pPr>
        <w:pStyle w:val="Heading2"/>
      </w:pPr>
      <w:r>
        <w:t xml:space="preserve">1. Information We Collect</w:t>
      </w:r>
    </w:p>
    <w:p>
      <w:pPr>
        <w:pStyle w:val="FirstParagraph"/>
      </w:pPr>
      <w:r>
        <w:t xml:space="preserve">In connection with our business services, we collect information necessary to establish, maintain, and secure institutional accounts, including: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Business Contact Data:</w:t>
      </w:r>
      <w:r>
        <w:t xml:space="preserve"> </w:t>
      </w:r>
      <w:r>
        <w:t xml:space="preserve">Representative name, corporate email address, business telephone number, and physical office address.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Developer Credentials:</w:t>
      </w:r>
      <w:r>
        <w:t xml:space="preserve"> </w:t>
      </w:r>
      <w:r>
        <w:t xml:space="preserve">API keys, access tokens, and administrative credentials.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Compliance &amp; Screening Data:</w:t>
      </w:r>
      <w:r>
        <w:t xml:space="preserve"> </w:t>
      </w:r>
      <w:r>
        <w:t xml:space="preserve">Identity documentation, corporate registry records, and screening details required under AML/KYC regulations.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Infrastructure Logs:</w:t>
      </w:r>
      <w:r>
        <w:t xml:space="preserve"> </w:t>
      </w:r>
      <w:r>
        <w:t xml:space="preserve">IP address, browser type, operating system, and routing activity logs.</w:t>
      </w:r>
    </w:p>
    <w:bookmarkEnd w:id="9"/>
    <w:bookmarkStart w:id="10" w:name="how-we-use-information"/>
    <w:p>
      <w:pPr>
        <w:pStyle w:val="Heading2"/>
      </w:pPr>
      <w:r>
        <w:t xml:space="preserve">2. How We Use Information</w:t>
      </w:r>
    </w:p>
    <w:p>
      <w:pPr>
        <w:pStyle w:val="FirstParagraph"/>
      </w:pPr>
      <w:r>
        <w:t xml:space="preserve">We process personal information to:</w:t>
      </w:r>
      <w:r>
        <w:t xml:space="preserve"> </w:t>
      </w:r>
      <w:r>
        <w:t xml:space="preserve">- Provision and secure API access and platform dashboards.</w:t>
      </w:r>
      <w:r>
        <w:t xml:space="preserve"> </w:t>
      </w:r>
      <w:r>
        <w:t xml:space="preserve">- Execute and reconcile transactions across routing networks.</w:t>
      </w:r>
      <w:r>
        <w:t xml:space="preserve"> </w:t>
      </w:r>
      <w:r>
        <w:t xml:space="preserve">- Comply with regulatory requirements, including sanction list screening and transaction monitoring.</w:t>
      </w:r>
      <w:r>
        <w:t xml:space="preserve"> </w:t>
      </w:r>
      <w:r>
        <w:t xml:space="preserve">- Improve our infrastructure performance, reliability, and security metrics.</w:t>
      </w:r>
    </w:p>
    <w:bookmarkEnd w:id="10"/>
    <w:bookmarkStart w:id="11" w:name="data-sharing-and-transfers"/>
    <w:p>
      <w:pPr>
        <w:pStyle w:val="Heading2"/>
      </w:pPr>
      <w:r>
        <w:t xml:space="preserve">3. Data Sharing and Transfers</w:t>
      </w:r>
    </w:p>
    <w:p>
      <w:pPr>
        <w:pStyle w:val="FirstParagraph"/>
      </w:pPr>
      <w:r>
        <w:t xml:space="preserve">We do not sell business contact or personal data. We share information only with: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Financial Network Partners:</w:t>
      </w:r>
      <w:r>
        <w:t xml:space="preserve"> </w:t>
      </w:r>
      <w:r>
        <w:t xml:space="preserve">Banking institutions, payment networks, and clearing houses involved in transaction routing.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Compliance Vendors:</w:t>
      </w:r>
      <w:r>
        <w:t xml:space="preserve"> </w:t>
      </w:r>
      <w:r>
        <w:t xml:space="preserve">Watchlist screening and risk intelligence providers.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Legal Authorities:</w:t>
      </w:r>
      <w:r>
        <w:t xml:space="preserve"> </w:t>
      </w:r>
      <w:r>
        <w:t xml:space="preserve">Regulatory agencies or law enforcement when required by legal process or regulatory directives.</w:t>
      </w:r>
    </w:p>
    <w:bookmarkEnd w:id="11"/>
    <w:bookmarkStart w:id="12" w:name="security-measures"/>
    <w:p>
      <w:pPr>
        <w:pStyle w:val="Heading2"/>
      </w:pPr>
      <w:r>
        <w:t xml:space="preserve">4. Security Measures</w:t>
      </w:r>
    </w:p>
    <w:p>
      <w:pPr>
        <w:pStyle w:val="FirstParagraph"/>
      </w:pPr>
      <w:r>
        <w:t xml:space="preserve">Rory Financial implements institutional-grade security controls, including transit and rest encryption (TLS/AES-256), strict access isolation, and audit logging. We review our physical and digital security protocols regularly.</w:t>
      </w:r>
    </w:p>
    <w:bookmarkEnd w:id="12"/>
    <w:bookmarkStart w:id="13" w:name="contact-information"/>
    <w:p>
      <w:pPr>
        <w:pStyle w:val="Heading2"/>
      </w:pPr>
      <w:r>
        <w:t xml:space="preserve">5. Contact Information</w:t>
      </w:r>
    </w:p>
    <w:p>
      <w:pPr>
        <w:pStyle w:val="FirstParagraph"/>
      </w:pPr>
      <w:r>
        <w:t xml:space="preserve">For inquiries regarding this Privacy Policy or corporate data protection standards, contact our compliance team: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Email:</w:t>
      </w:r>
      <w:r>
        <w:t xml:space="preserve"> </w:t>
      </w:r>
      <w:r>
        <w:t xml:space="preserve">compliance@roryfinancial.com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Website:</w:t>
      </w:r>
      <w:r>
        <w:t xml:space="preserve"> </w:t>
      </w:r>
      <w:r>
        <w:t xml:space="preserve">roryfinancial.com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2026-10-17T02:30:47Z</dcterms:created>
  <dcterms:modified xsi:type="dcterms:W3CDTF">2026-10-17T02:30:47Z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